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幼儿园新型冠状病毒肺炎防控原则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  <w:t>及适用范围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color w:val="FF0000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lang w:eastAsia="zh-CN"/>
        </w:rPr>
        <w:t>总体原则</w:t>
      </w: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t>科学防治、依法管理、健康第一，严格管控、保障先行，压实责任、措施到位，家园联防、园医联控。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lang w:eastAsia="zh-CN"/>
        </w:rPr>
        <w:t>工作要求</w:t>
      </w: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t>树立信心、全员参与，责任到岗、落实到人,加强教育、主动防疫，清洁环境、个人防护。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color w:val="FF0000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lang w:eastAsia="zh-CN"/>
        </w:rPr>
        <w:t>重点工作</w:t>
      </w: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t>根据疫情发展的不同阶段,突出重点环节和重点工作。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eastAsia="zh-CN"/>
        </w:rPr>
        <w:t>开学前</w:t>
      </w:r>
      <w:r>
        <w:rPr>
          <w:rFonts w:hint="eastAsia" w:asciiTheme="minorEastAsia" w:hAnsiTheme="minorEastAsia" w:cstheme="minorEastAsia"/>
          <w:b/>
          <w:bCs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lang w:eastAsia="zh-CN"/>
        </w:rPr>
        <w:t>健全管理制度、掌握人员情况、实施全员培训、落实园区卫生、配备必要保障。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eastAsia="zh-CN"/>
        </w:rPr>
        <w:t>开学时</w:t>
      </w:r>
      <w:r>
        <w:rPr>
          <w:rFonts w:hint="eastAsia" w:asciiTheme="minorEastAsia" w:hAnsiTheme="minorEastAsia" w:cstheme="minorEastAsia"/>
          <w:b/>
          <w:bCs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lang w:eastAsia="zh-CN"/>
        </w:rPr>
        <w:t>流程管理、专人负责、协调联控。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eastAsia="zh-CN"/>
        </w:rPr>
        <w:t>开学后</w:t>
      </w:r>
      <w:r>
        <w:rPr>
          <w:rFonts w:hint="eastAsia" w:asciiTheme="minorEastAsia" w:hAnsiTheme="minorEastAsia" w:cstheme="minorEastAsia"/>
          <w:b/>
          <w:bCs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lang w:eastAsia="zh-CN"/>
        </w:rPr>
        <w:t>贯彻长效机制、动态调整、身心兼顾、巩固实效。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t>重点做好完善园区公共卫生各项制度,建立健全传染病防控各项机制，实施全员培训，强化园长、教职员工和幼儿健康教育，加强幼儿园卫生专业队伍建设，改善幼儿园卫生工作基础设施和物资储备等工作。推行七步洗手法的健康策略，做好开窗通风，保持室内空气清洁，做好园区公共场所的预防性消毒，减少活动范围，出门戴口罩,加强心理健康教育和危机干预等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Theme="minorEastAsia" w:hAnsiTheme="minorEastAsia" w:cstheme="minorEastAsia"/>
          <w:b/>
          <w:bCs/>
          <w:color w:val="FF0000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lang w:eastAsia="zh-CN"/>
        </w:rPr>
        <w:t>适用范围</w:t>
      </w:r>
      <w:r>
        <w:rPr>
          <w:rFonts w:hint="eastAsia" w:asciiTheme="minorEastAsia" w:hAnsiTheme="minorEastAsia" w:cstheme="minorEastAsia"/>
          <w:b/>
          <w:bCs/>
          <w:color w:val="FF0000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t>本《指南》适用于各幼儿园开展新型冠状病毒肺炎防控工作，其他学龄前儿童托育、培训机构可参照执行。</w:t>
      </w: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</w:t>
    </w:r>
    <w:bookmarkStart w:id="4" w:name="_GoBack"/>
    <w:bookmarkEnd w:id="4"/>
    <w:r>
      <w:rPr>
        <w:rFonts w:hint="eastAsia"/>
        <w:lang w:val="en-US" w:eastAsia="zh-CN"/>
      </w:rPr>
      <w:t xml:space="preserve">    </w:t>
    </w:r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文件</w:t>
    </w:r>
    <w:bookmarkStart w:id="0" w:name="bookmark2"/>
    <w:bookmarkStart w:id="1" w:name="bookmark0"/>
    <w:bookmarkStart w:id="2" w:name="bookmark1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来自教育部《幼儿园</w:t>
    </w:r>
    <w:bookmarkEnd w:id="0"/>
    <w:bookmarkStart w:id="3" w:name="bookmark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新型冠状病毒肺炎防控指南</w:t>
    </w:r>
    <w:bookmarkEnd w:id="1"/>
    <w:bookmarkEnd w:id="2"/>
    <w:bookmarkEnd w:id="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》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29547C4"/>
    <w:rsid w:val="06593BE2"/>
    <w:rsid w:val="07706DD9"/>
    <w:rsid w:val="08A402DA"/>
    <w:rsid w:val="09076752"/>
    <w:rsid w:val="09D66DBE"/>
    <w:rsid w:val="0C8C4EDA"/>
    <w:rsid w:val="0FC21271"/>
    <w:rsid w:val="108924C7"/>
    <w:rsid w:val="159F1ED1"/>
    <w:rsid w:val="16D6384D"/>
    <w:rsid w:val="17A65C00"/>
    <w:rsid w:val="17B00A9A"/>
    <w:rsid w:val="1AC01672"/>
    <w:rsid w:val="1B920877"/>
    <w:rsid w:val="1DC156DC"/>
    <w:rsid w:val="1E0F2871"/>
    <w:rsid w:val="1EDA5340"/>
    <w:rsid w:val="1F153807"/>
    <w:rsid w:val="20216937"/>
    <w:rsid w:val="202F7518"/>
    <w:rsid w:val="204A74D7"/>
    <w:rsid w:val="20D82DD6"/>
    <w:rsid w:val="20F12772"/>
    <w:rsid w:val="21EC5EB1"/>
    <w:rsid w:val="23CF405D"/>
    <w:rsid w:val="2429013E"/>
    <w:rsid w:val="24326B9E"/>
    <w:rsid w:val="25863E9B"/>
    <w:rsid w:val="27D460C0"/>
    <w:rsid w:val="28696093"/>
    <w:rsid w:val="29175FA0"/>
    <w:rsid w:val="29824000"/>
    <w:rsid w:val="2C1B475C"/>
    <w:rsid w:val="2C3E5A79"/>
    <w:rsid w:val="2E4B2F66"/>
    <w:rsid w:val="2E8B282A"/>
    <w:rsid w:val="30305B63"/>
    <w:rsid w:val="327F0906"/>
    <w:rsid w:val="33E10167"/>
    <w:rsid w:val="355B74F5"/>
    <w:rsid w:val="36C046C6"/>
    <w:rsid w:val="37C40D81"/>
    <w:rsid w:val="382B6E01"/>
    <w:rsid w:val="3A285659"/>
    <w:rsid w:val="3A601DE7"/>
    <w:rsid w:val="3A7708B1"/>
    <w:rsid w:val="3A9E031C"/>
    <w:rsid w:val="3ACA0666"/>
    <w:rsid w:val="3B030E3F"/>
    <w:rsid w:val="3C5D0BE3"/>
    <w:rsid w:val="3E2F52E2"/>
    <w:rsid w:val="4087384A"/>
    <w:rsid w:val="4143253D"/>
    <w:rsid w:val="419D3C9D"/>
    <w:rsid w:val="41D3297A"/>
    <w:rsid w:val="43213709"/>
    <w:rsid w:val="43B65EEA"/>
    <w:rsid w:val="452B7667"/>
    <w:rsid w:val="47415D24"/>
    <w:rsid w:val="475D0A54"/>
    <w:rsid w:val="49A379F2"/>
    <w:rsid w:val="4A9B12B6"/>
    <w:rsid w:val="4AB91D93"/>
    <w:rsid w:val="4ABE3B38"/>
    <w:rsid w:val="4F3341AF"/>
    <w:rsid w:val="4F75061C"/>
    <w:rsid w:val="51F54157"/>
    <w:rsid w:val="521F57C1"/>
    <w:rsid w:val="53B07476"/>
    <w:rsid w:val="53DB02DD"/>
    <w:rsid w:val="53EB19E8"/>
    <w:rsid w:val="55382B9B"/>
    <w:rsid w:val="57D47BA3"/>
    <w:rsid w:val="58772BAC"/>
    <w:rsid w:val="5938208C"/>
    <w:rsid w:val="597E790D"/>
    <w:rsid w:val="5C7648D6"/>
    <w:rsid w:val="5CB3717E"/>
    <w:rsid w:val="5E5C1FB4"/>
    <w:rsid w:val="5E776F6F"/>
    <w:rsid w:val="5E90405E"/>
    <w:rsid w:val="5F3E600F"/>
    <w:rsid w:val="60B7000A"/>
    <w:rsid w:val="617029D1"/>
    <w:rsid w:val="623A0549"/>
    <w:rsid w:val="62E07670"/>
    <w:rsid w:val="643B6A9C"/>
    <w:rsid w:val="64EF39E3"/>
    <w:rsid w:val="66AE0635"/>
    <w:rsid w:val="66DD55D1"/>
    <w:rsid w:val="6AB37B7B"/>
    <w:rsid w:val="6BFC1DAB"/>
    <w:rsid w:val="6C2541AC"/>
    <w:rsid w:val="6C27500B"/>
    <w:rsid w:val="6D255590"/>
    <w:rsid w:val="6E676277"/>
    <w:rsid w:val="6E773E95"/>
    <w:rsid w:val="6E803143"/>
    <w:rsid w:val="734638C8"/>
    <w:rsid w:val="74077645"/>
    <w:rsid w:val="74401FCA"/>
    <w:rsid w:val="7480046C"/>
    <w:rsid w:val="760462AD"/>
    <w:rsid w:val="76154EA5"/>
    <w:rsid w:val="76B47361"/>
    <w:rsid w:val="77A9187D"/>
    <w:rsid w:val="796C7B24"/>
    <w:rsid w:val="797A12D6"/>
    <w:rsid w:val="7B2C391B"/>
    <w:rsid w:val="7C1046AF"/>
    <w:rsid w:val="7C435E87"/>
    <w:rsid w:val="7F3A55AF"/>
    <w:rsid w:val="7F594341"/>
    <w:rsid w:val="7FAB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unhideWhenUsed/>
    <w:qFormat/>
    <w:uiPriority w:val="0"/>
    <w:rPr>
      <w:color w:val="800080"/>
      <w:u w:val="single"/>
    </w:rPr>
  </w:style>
  <w:style w:type="character" w:styleId="11">
    <w:name w:val="Hyperlink"/>
    <w:basedOn w:val="8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2020-03-18T01:58:56Z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